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40A5687B" w14:textId="3269C695" w:rsidR="00D37646" w:rsidRPr="008E23F9" w:rsidRDefault="00D37646" w:rsidP="008E23F9">
      <w:pPr>
        <w:pStyle w:val="Heading1"/>
      </w:pPr>
      <w:r w:rsidRPr="008E23F9">
        <w:t xml:space="preserve">Report of the MOBIUS </w:t>
      </w:r>
      <w:r w:rsidR="009B6D3C">
        <w:t>Digitization Committee</w:t>
      </w:r>
      <w:r w:rsidR="009B6D3C">
        <w:tab/>
      </w:r>
    </w:p>
    <w:p w14:paraId="24A6025D" w14:textId="3A0D0F0D" w:rsidR="00D37646" w:rsidRPr="00B55A38" w:rsidRDefault="009B6D3C" w:rsidP="00D37646">
      <w:pPr>
        <w:rPr>
          <w:rFonts w:ascii="Calibri" w:hAnsi="Calibri"/>
        </w:rPr>
      </w:pPr>
      <w:r>
        <w:rPr>
          <w:rFonts w:ascii="Calibri" w:hAnsi="Calibri"/>
        </w:rPr>
        <w:t>June 14, 2021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1C21D20C" w:rsidR="00D803E3" w:rsidRP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 xml:space="preserve">Submitted by: </w:t>
      </w:r>
      <w:r w:rsidR="009B6D3C">
        <w:rPr>
          <w:rFonts w:ascii="Calibri" w:hAnsi="Calibri"/>
          <w:sz w:val="22"/>
          <w:szCs w:val="22"/>
        </w:rPr>
        <w:t>Sarah Smith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5B8EB55B" w14:textId="4E235F40" w:rsidR="00EA7C9F" w:rsidRPr="00D803E3" w:rsidRDefault="00EA7C9F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>This report covers t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the period </w:t>
      </w:r>
      <w:r w:rsidR="009B6D3C">
        <w:rPr>
          <w:rFonts w:ascii="Calibri" w:hAnsi="Calibri"/>
          <w:b/>
          <w:color w:val="333333"/>
          <w:sz w:val="22"/>
          <w:szCs w:val="22"/>
        </w:rPr>
        <w:t>June 2020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through </w:t>
      </w:r>
      <w:r w:rsidR="009B6D3C">
        <w:rPr>
          <w:rFonts w:ascii="Calibri" w:hAnsi="Calibri"/>
          <w:b/>
          <w:color w:val="333333"/>
          <w:sz w:val="22"/>
          <w:szCs w:val="22"/>
        </w:rPr>
        <w:t>June 2021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.</w:t>
      </w:r>
      <w:r w:rsidR="00B320EE">
        <w:rPr>
          <w:rFonts w:ascii="Calibri" w:hAnsi="Calibri"/>
          <w:b/>
          <w:color w:val="333333"/>
          <w:sz w:val="22"/>
          <w:szCs w:val="22"/>
        </w:rPr>
        <w:t xml:space="preserve">  </w:t>
      </w:r>
      <w:r w:rsidR="00C90D2D">
        <w:rPr>
          <w:rFonts w:ascii="Calibri" w:hAnsi="Calibri"/>
          <w:b/>
          <w:color w:val="333333"/>
          <w:sz w:val="22"/>
          <w:szCs w:val="22"/>
        </w:rPr>
        <w:t>T</w:t>
      </w:r>
      <w:r w:rsidR="00B320EE">
        <w:rPr>
          <w:rFonts w:ascii="Calibri" w:hAnsi="Calibri"/>
          <w:b/>
          <w:color w:val="333333"/>
          <w:sz w:val="22"/>
          <w:szCs w:val="22"/>
        </w:rPr>
        <w:t>his is an annual report.</w:t>
      </w:r>
    </w:p>
    <w:p w14:paraId="0CD043BF" w14:textId="77777777" w:rsidR="00EA7C9F" w:rsidRPr="00D803E3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691637EE" w14:textId="1AE02CC1" w:rsidR="00EA7C9F" w:rsidRPr="00EA7C9F" w:rsidRDefault="00EA7C9F" w:rsidP="00EA7C9F">
      <w:pPr>
        <w:spacing w:line="258" w:lineRule="atLeast"/>
      </w:pP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43BBBE57" w14:textId="50D5641B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C90D2D">
        <w:rPr>
          <w:rFonts w:ascii="Calibri" w:hAnsi="Calibri"/>
          <w:color w:val="333333"/>
          <w:sz w:val="22"/>
          <w:szCs w:val="22"/>
        </w:rPr>
        <w:t xml:space="preserve"> March 29, 2021</w:t>
      </w:r>
    </w:p>
    <w:p w14:paraId="1481E8FF" w14:textId="39EF36D9" w:rsid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C90D2D">
        <w:rPr>
          <w:rFonts w:ascii="Calibri" w:hAnsi="Calibri"/>
          <w:color w:val="333333"/>
          <w:sz w:val="22"/>
          <w:szCs w:val="22"/>
        </w:rPr>
        <w:t>TBD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DC2084" w:rsidRDefault="00DC2084" w:rsidP="009054B1">
      <w:pPr>
        <w:pStyle w:val="Heading2"/>
      </w:pPr>
      <w:r w:rsidRPr="00DC2084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58447438" w14:textId="77777777" w:rsidR="00EA7C9F" w:rsidRPr="00EA7C9F" w:rsidRDefault="00EA7C9F" w:rsidP="009054B1">
      <w:pPr>
        <w:pStyle w:val="Heading3"/>
      </w:pPr>
      <w:r w:rsidRPr="00D803E3">
        <w:t>Action Items Completed:</w:t>
      </w:r>
    </w:p>
    <w:p w14:paraId="552B627B" w14:textId="42DA426F" w:rsidR="00EA7C9F" w:rsidRPr="00EA7C9F" w:rsidRDefault="00E91DF8" w:rsidP="0079509A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VITAL </w:t>
      </w:r>
      <w:r w:rsidR="00EC25D2">
        <w:rPr>
          <w:rFonts w:ascii="Calibri" w:hAnsi="Calibri"/>
          <w:color w:val="333333"/>
          <w:sz w:val="22"/>
          <w:szCs w:val="22"/>
        </w:rPr>
        <w:t>software implementation project participating libraries received notification of funding from Missouri State Library LSTA grant award on May 27</w:t>
      </w:r>
      <w:r w:rsidR="00C9344F">
        <w:rPr>
          <w:rFonts w:ascii="Calibri" w:hAnsi="Calibri"/>
          <w:color w:val="333333"/>
          <w:sz w:val="22"/>
          <w:szCs w:val="22"/>
        </w:rPr>
        <w:t>; MOBIUS Board of Directors voted to pay for required financial match.</w:t>
      </w:r>
    </w:p>
    <w:p w14:paraId="646C2E76" w14:textId="77777777" w:rsidR="004965A3" w:rsidRPr="00BD4736" w:rsidRDefault="004965A3" w:rsidP="004965A3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>Vital software and implementation services were ordered on July 6.</w:t>
      </w:r>
    </w:p>
    <w:p w14:paraId="253F4647" w14:textId="1DD4FD1A" w:rsidR="004965A3" w:rsidRPr="00BD4736" w:rsidRDefault="004965A3" w:rsidP="004965A3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 xml:space="preserve">MOBIUS’ first Vital implementation meeting with Innovative was on August 4. </w:t>
      </w:r>
    </w:p>
    <w:p w14:paraId="634B2258" w14:textId="77777777" w:rsidR="00DA7BE3" w:rsidRPr="00DA7BE3" w:rsidRDefault="00DA7BE3" w:rsidP="005F21D6">
      <w:pPr>
        <w:pStyle w:val="ListParagraph"/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>The first Vital training session provided by III took place September 15, 2020, with 27 participants in attendance.</w:t>
      </w:r>
    </w:p>
    <w:p w14:paraId="1AA8D947" w14:textId="2E8668C9" w:rsidR="003E1688" w:rsidRPr="00BD4736" w:rsidRDefault="002B0423" w:rsidP="005F21D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 xml:space="preserve">Mentoring program </w:t>
      </w:r>
      <w:r w:rsidR="00E20F57" w:rsidRPr="00BD4736">
        <w:rPr>
          <w:rFonts w:ascii="Calibri" w:hAnsi="Calibri"/>
          <w:color w:val="333333"/>
          <w:sz w:val="22"/>
          <w:szCs w:val="22"/>
        </w:rPr>
        <w:t xml:space="preserve">and monthly webinar series </w:t>
      </w:r>
      <w:r w:rsidRPr="00BD4736">
        <w:rPr>
          <w:rFonts w:ascii="Calibri" w:hAnsi="Calibri"/>
          <w:color w:val="333333"/>
          <w:sz w:val="22"/>
          <w:szCs w:val="22"/>
        </w:rPr>
        <w:t xml:space="preserve">was launched in fall 2020. </w:t>
      </w:r>
      <w:r w:rsidR="003E1688" w:rsidRPr="00BD4736">
        <w:rPr>
          <w:rFonts w:ascii="Calibri" w:hAnsi="Calibri"/>
          <w:color w:val="333333"/>
          <w:sz w:val="22"/>
          <w:szCs w:val="22"/>
        </w:rPr>
        <w:t xml:space="preserve">Northeast Document Conservation Center (NEDCC) was selected as consultants to help structure training on best practices for digitization (not software-specific). </w:t>
      </w:r>
    </w:p>
    <w:p w14:paraId="3D4EAAB1" w14:textId="77777777" w:rsidR="00BD4736" w:rsidRPr="00BD4736" w:rsidRDefault="00133FE6" w:rsidP="00383F00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 xml:space="preserve">MOBIUS office verified contact information at participating libraries and set up a Basecamp project for MOBIUS and Innovative to coordinate the project.  </w:t>
      </w:r>
    </w:p>
    <w:p w14:paraId="3F246183" w14:textId="648AD65D" w:rsidR="00BD4736" w:rsidRPr="00BD4736" w:rsidRDefault="00BD4736" w:rsidP="005F21D6">
      <w:pPr>
        <w:pStyle w:val="ListParagraph"/>
        <w:numPr>
          <w:ilvl w:val="0"/>
          <w:numId w:val="11"/>
        </w:numPr>
        <w:spacing w:line="259" w:lineRule="auto"/>
        <w:ind w:left="360" w:firstLine="0"/>
        <w:textAlignment w:val="baseline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>Two-part wrap-up mentor-mentee workshop was held in April 2021</w:t>
      </w:r>
    </w:p>
    <w:p w14:paraId="71BDA1B9" w14:textId="6BF6DB27" w:rsidR="00BD4736" w:rsidRPr="00BD4736" w:rsidRDefault="00BD4736" w:rsidP="00BD4736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>Data</w:t>
      </w:r>
      <w:r w:rsidR="00044488">
        <w:rPr>
          <w:rFonts w:ascii="Calibri" w:hAnsi="Calibri"/>
          <w:color w:val="333333"/>
          <w:sz w:val="22"/>
          <w:szCs w:val="22"/>
        </w:rPr>
        <w:t xml:space="preserve"> was</w:t>
      </w:r>
      <w:r w:rsidRPr="00BD4736">
        <w:rPr>
          <w:rFonts w:ascii="Calibri" w:hAnsi="Calibri"/>
          <w:color w:val="333333"/>
          <w:sz w:val="22"/>
          <w:szCs w:val="22"/>
        </w:rPr>
        <w:t xml:space="preserve"> migrat</w:t>
      </w:r>
      <w:r w:rsidR="00044488">
        <w:rPr>
          <w:rFonts w:ascii="Calibri" w:hAnsi="Calibri"/>
          <w:color w:val="333333"/>
          <w:sz w:val="22"/>
          <w:szCs w:val="22"/>
        </w:rPr>
        <w:t>ed</w:t>
      </w:r>
      <w:r w:rsidRPr="00BD4736">
        <w:rPr>
          <w:rFonts w:ascii="Calibri" w:hAnsi="Calibri"/>
          <w:color w:val="333333"/>
          <w:sz w:val="22"/>
          <w:szCs w:val="22"/>
        </w:rPr>
        <w:t xml:space="preserve"> for 5 libraries with legacy data </w:t>
      </w:r>
    </w:p>
    <w:p w14:paraId="12F22CD2" w14:textId="2B9D1F81" w:rsidR="00BD4736" w:rsidRPr="00BD4736" w:rsidRDefault="00BD4736" w:rsidP="00383F00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BD4736">
        <w:rPr>
          <w:rFonts w:ascii="Calibri" w:hAnsi="Calibri"/>
          <w:color w:val="333333"/>
          <w:sz w:val="22"/>
          <w:szCs w:val="22"/>
        </w:rPr>
        <w:t>Training on Vital</w:t>
      </w:r>
      <w:r w:rsidR="00044488">
        <w:rPr>
          <w:rFonts w:ascii="Calibri" w:hAnsi="Calibri"/>
          <w:color w:val="333333"/>
          <w:sz w:val="22"/>
          <w:szCs w:val="22"/>
        </w:rPr>
        <w:t xml:space="preserve"> was provided</w:t>
      </w:r>
      <w:r w:rsidRPr="00BD4736">
        <w:rPr>
          <w:rFonts w:ascii="Calibri" w:hAnsi="Calibri"/>
          <w:color w:val="333333"/>
          <w:sz w:val="22"/>
          <w:szCs w:val="22"/>
        </w:rPr>
        <w:t xml:space="preserve"> for the remaining libraries. </w:t>
      </w:r>
      <w:r>
        <w:rPr>
          <w:rFonts w:ascii="Calibri" w:hAnsi="Calibri"/>
          <w:color w:val="333333"/>
          <w:sz w:val="22"/>
          <w:szCs w:val="22"/>
        </w:rPr>
        <w:t>All participating libraries were provided with</w:t>
      </w:r>
      <w:r w:rsidRPr="00BD4736">
        <w:rPr>
          <w:rFonts w:ascii="Calibri" w:hAnsi="Calibri"/>
          <w:color w:val="333333"/>
          <w:sz w:val="22"/>
          <w:szCs w:val="22"/>
        </w:rPr>
        <w:t> access to Vital! </w:t>
      </w:r>
    </w:p>
    <w:p w14:paraId="12A91F68" w14:textId="77777777" w:rsidR="00EA7C9F" w:rsidRPr="00EA7C9F" w:rsidRDefault="00EA7C9F" w:rsidP="009054B1">
      <w:pPr>
        <w:pStyle w:val="Heading3"/>
      </w:pPr>
      <w:r w:rsidRPr="00D803E3">
        <w:t>Action Items In-progress/Pending:</w:t>
      </w:r>
    </w:p>
    <w:p w14:paraId="202957B7" w14:textId="77777777" w:rsidR="001A3DF3" w:rsidRPr="006C468E" w:rsidRDefault="001A3DF3" w:rsidP="006C468E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6C468E">
        <w:rPr>
          <w:rFonts w:ascii="Calibri" w:hAnsi="Calibri"/>
          <w:color w:val="333333"/>
          <w:sz w:val="22"/>
          <w:szCs w:val="22"/>
        </w:rPr>
        <w:t>Joint meeting of the Digitization Committee and the Vital libraries - May 24 </w:t>
      </w:r>
    </w:p>
    <w:p w14:paraId="6D16D87A" w14:textId="77777777" w:rsidR="001A3DF3" w:rsidRPr="006C468E" w:rsidRDefault="001A3DF3" w:rsidP="006C468E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6C468E">
        <w:rPr>
          <w:rFonts w:ascii="Calibri" w:hAnsi="Calibri"/>
          <w:color w:val="333333"/>
          <w:sz w:val="22"/>
          <w:szCs w:val="22"/>
        </w:rPr>
        <w:t>Letter of Intent submitted to the Missouri State Library: </w:t>
      </w:r>
    </w:p>
    <w:p w14:paraId="207BBEBA" w14:textId="77777777" w:rsidR="001A3DF3" w:rsidRPr="006C468E" w:rsidRDefault="001A3DF3" w:rsidP="008E15C0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hAnsi="Calibri"/>
          <w:color w:val="333333"/>
          <w:sz w:val="22"/>
          <w:szCs w:val="22"/>
        </w:rPr>
      </w:pPr>
      <w:r w:rsidRPr="006C468E">
        <w:rPr>
          <w:rFonts w:ascii="Calibri" w:hAnsi="Calibri"/>
          <w:color w:val="333333"/>
          <w:sz w:val="22"/>
          <w:szCs w:val="22"/>
        </w:rPr>
        <w:t>Planning for a Year 2 grant, envisioned to encompass: </w:t>
      </w:r>
    </w:p>
    <w:p w14:paraId="4650A988" w14:textId="77777777" w:rsidR="001A3DF3" w:rsidRPr="006C468E" w:rsidRDefault="001A3DF3" w:rsidP="001A3DF3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Outsourced digitization of some commonly held types of materials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849695" w14:textId="77777777" w:rsidR="001A3DF3" w:rsidRPr="006C468E" w:rsidRDefault="001A3DF3" w:rsidP="001A3DF3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Continue mentoring program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C91933E" w14:textId="77777777" w:rsidR="001A3DF3" w:rsidRPr="006C468E" w:rsidRDefault="001A3DF3" w:rsidP="001A3DF3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Help libraries advocate for their digitization programs on campus and with donors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7CA8572" w14:textId="77777777" w:rsidR="001A3DF3" w:rsidRPr="006C468E" w:rsidRDefault="001A3DF3" w:rsidP="001A3DF3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Work on campus-specific parameters for digitizing yearbooks and student newspapers (any restrictions on what can be made publicly available?)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6E2AAC" w14:textId="77777777" w:rsidR="001A3DF3" w:rsidRPr="006C468E" w:rsidRDefault="001A3DF3" w:rsidP="001A3DF3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Additional file storage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67F487" w14:textId="77777777" w:rsidR="001A3DF3" w:rsidRDefault="001A3DF3" w:rsidP="001A3DF3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color w:val="000000"/>
        </w:rPr>
        <w:t> </w:t>
      </w:r>
    </w:p>
    <w:p w14:paraId="5F1CDC8C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 April, Emily Jaycox, Donna Bacon, + Stephanie Ruhe sent a Letter of Intent to the Missouri State Library (precursor to all digitization grant applications).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145CA49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State Library replied: 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D6E5426" w14:textId="77777777" w:rsidR="001A3DF3" w:rsidRPr="006C468E" w:rsidRDefault="001A3DF3" w:rsidP="001A3DF3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Would libraries welcome mobile digitization kits (new program under consideration by MoStateLib)? Or would outsourcing still be a better solution?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C9EF293" w14:textId="77777777" w:rsidR="001A3DF3" w:rsidRPr="006C468E" w:rsidRDefault="001A3DF3" w:rsidP="001A3DF3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Asked other questions about timing, permission to share with DPLA, joining MissouriHub, other admin questions.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8CCB0CA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FA728DA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Meanwhile, NEDCC consultant Sean Ferguson (who created the mentoring program) and Stephanie Ruhe both accepted other positions.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6E327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0D50C3C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NEDCC won't have a consultant available to work with MOBIUS until Spring 2022.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843350F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557636E" w14:textId="77777777" w:rsidR="001A3DF3" w:rsidRPr="006C468E" w:rsidRDefault="001A3DF3" w:rsidP="001A3DF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46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At the joint meeting to update the Digitization Committee and the Vital libraries, consensus among those attending was:</w:t>
      </w:r>
      <w:r w:rsidRPr="006C468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48E4AC8" w14:textId="77777777" w:rsidR="001A3DF3" w:rsidRPr="002F7F06" w:rsidRDefault="001A3DF3" w:rsidP="002F7F06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F7F0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Outsourcing is more helpful than mobile digitization kits to 5 libraries who spoke up. </w:t>
      </w:r>
      <w:r w:rsidRPr="002F7F06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31D789A3" w14:textId="77777777" w:rsidR="001A3DF3" w:rsidRPr="002F7F06" w:rsidRDefault="001A3DF3" w:rsidP="002F7F06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F7F0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One library that we know of is acquiring their own scanner with MoStateLib funds.</w:t>
      </w:r>
      <w:r w:rsidRPr="002F7F06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34C807C9" w14:textId="77777777" w:rsidR="001A3DF3" w:rsidRPr="002F7F06" w:rsidRDefault="001A3DF3" w:rsidP="002F7F06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F7F0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At this juncture, it makes sense to wait until the Missouri State Library's normal digitization grant cycle (Letter of Intent in Jan, grant application in Feb).</w:t>
      </w:r>
      <w:r w:rsidRPr="002F7F06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sectPr w:rsidR="001A3DF3" w:rsidRPr="002F7F06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0D261" w14:textId="77777777" w:rsidR="005F21D6" w:rsidRDefault="005F21D6" w:rsidP="00B320EE">
      <w:r>
        <w:separator/>
      </w:r>
    </w:p>
  </w:endnote>
  <w:endnote w:type="continuationSeparator" w:id="0">
    <w:p w14:paraId="42A26050" w14:textId="77777777" w:rsidR="005F21D6" w:rsidRDefault="005F21D6" w:rsidP="00B320EE">
      <w:r>
        <w:continuationSeparator/>
      </w:r>
    </w:p>
  </w:endnote>
  <w:endnote w:type="continuationNotice" w:id="1">
    <w:p w14:paraId="72E109E9" w14:textId="77777777" w:rsidR="005F21D6" w:rsidRDefault="005F2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EF86" w14:textId="77777777" w:rsidR="005F21D6" w:rsidRDefault="005F21D6" w:rsidP="00B320EE">
      <w:r>
        <w:separator/>
      </w:r>
    </w:p>
  </w:footnote>
  <w:footnote w:type="continuationSeparator" w:id="0">
    <w:p w14:paraId="626F5634" w14:textId="77777777" w:rsidR="005F21D6" w:rsidRDefault="005F21D6" w:rsidP="00B320EE">
      <w:r>
        <w:continuationSeparator/>
      </w:r>
    </w:p>
  </w:footnote>
  <w:footnote w:type="continuationNotice" w:id="1">
    <w:p w14:paraId="2D49D3A9" w14:textId="77777777" w:rsidR="005F21D6" w:rsidRDefault="005F2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2E458" w14:textId="77777777" w:rsidR="00B320EE" w:rsidRPr="00B55A38" w:rsidRDefault="4B8C0DD2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4B8C0DD2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45A"/>
    <w:multiLevelType w:val="multilevel"/>
    <w:tmpl w:val="2E168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7500E"/>
    <w:multiLevelType w:val="multilevel"/>
    <w:tmpl w:val="E7F8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E27C7"/>
    <w:multiLevelType w:val="multilevel"/>
    <w:tmpl w:val="84D8D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C5555A5"/>
    <w:multiLevelType w:val="multilevel"/>
    <w:tmpl w:val="AC9C5D12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C25AB"/>
    <w:multiLevelType w:val="multilevel"/>
    <w:tmpl w:val="B040FC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412B60"/>
    <w:multiLevelType w:val="multilevel"/>
    <w:tmpl w:val="855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91DD7"/>
    <w:multiLevelType w:val="multilevel"/>
    <w:tmpl w:val="D34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B7FAF"/>
    <w:multiLevelType w:val="multilevel"/>
    <w:tmpl w:val="479E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E3201"/>
    <w:multiLevelType w:val="multilevel"/>
    <w:tmpl w:val="2E76A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91F3F2A"/>
    <w:multiLevelType w:val="hybridMultilevel"/>
    <w:tmpl w:val="BB9AAC46"/>
    <w:lvl w:ilvl="0" w:tplc="652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8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0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E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81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AF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9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A7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0B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404B7"/>
    <w:multiLevelType w:val="multilevel"/>
    <w:tmpl w:val="1EE46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EE0466D"/>
    <w:multiLevelType w:val="hybridMultilevel"/>
    <w:tmpl w:val="1BD04AB4"/>
    <w:lvl w:ilvl="0" w:tplc="32ECD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4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21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E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AF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D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1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32958"/>
    <w:multiLevelType w:val="multilevel"/>
    <w:tmpl w:val="98B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9"/>
  </w:num>
  <w:num w:numId="5">
    <w:abstractNumId w:val="15"/>
  </w:num>
  <w:num w:numId="6">
    <w:abstractNumId w:val="11"/>
  </w:num>
  <w:num w:numId="7">
    <w:abstractNumId w:val="5"/>
  </w:num>
  <w:num w:numId="8">
    <w:abstractNumId w:val="16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7"/>
  </w:num>
  <w:num w:numId="14">
    <w:abstractNumId w:val="6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44488"/>
    <w:rsid w:val="000A50C6"/>
    <w:rsid w:val="000F30AF"/>
    <w:rsid w:val="00106864"/>
    <w:rsid w:val="00133FE6"/>
    <w:rsid w:val="00197996"/>
    <w:rsid w:val="001A3DF3"/>
    <w:rsid w:val="001E1809"/>
    <w:rsid w:val="001F3C61"/>
    <w:rsid w:val="0022372C"/>
    <w:rsid w:val="002302AA"/>
    <w:rsid w:val="00243937"/>
    <w:rsid w:val="002B0423"/>
    <w:rsid w:val="002F7F06"/>
    <w:rsid w:val="00353B1B"/>
    <w:rsid w:val="00383F00"/>
    <w:rsid w:val="003B5650"/>
    <w:rsid w:val="003D23C8"/>
    <w:rsid w:val="003E1688"/>
    <w:rsid w:val="003E1FE4"/>
    <w:rsid w:val="00415910"/>
    <w:rsid w:val="00454AFC"/>
    <w:rsid w:val="004965A3"/>
    <w:rsid w:val="00530CA1"/>
    <w:rsid w:val="00531773"/>
    <w:rsid w:val="00541FC5"/>
    <w:rsid w:val="00562670"/>
    <w:rsid w:val="00586A32"/>
    <w:rsid w:val="005C76B2"/>
    <w:rsid w:val="005F21D6"/>
    <w:rsid w:val="00605EAE"/>
    <w:rsid w:val="0062038D"/>
    <w:rsid w:val="006433C0"/>
    <w:rsid w:val="006544C1"/>
    <w:rsid w:val="00675D56"/>
    <w:rsid w:val="006C468E"/>
    <w:rsid w:val="0079509A"/>
    <w:rsid w:val="007C10BD"/>
    <w:rsid w:val="007C26CC"/>
    <w:rsid w:val="008438BF"/>
    <w:rsid w:val="008569C5"/>
    <w:rsid w:val="00861DFD"/>
    <w:rsid w:val="00882C19"/>
    <w:rsid w:val="008B7F94"/>
    <w:rsid w:val="008C0873"/>
    <w:rsid w:val="008E15C0"/>
    <w:rsid w:val="008E23F9"/>
    <w:rsid w:val="008E306F"/>
    <w:rsid w:val="008F0707"/>
    <w:rsid w:val="009054B1"/>
    <w:rsid w:val="00920C33"/>
    <w:rsid w:val="00936D45"/>
    <w:rsid w:val="00942623"/>
    <w:rsid w:val="009804A8"/>
    <w:rsid w:val="00987974"/>
    <w:rsid w:val="009B6D3C"/>
    <w:rsid w:val="009C3759"/>
    <w:rsid w:val="00A002F2"/>
    <w:rsid w:val="00A4186A"/>
    <w:rsid w:val="00A466D8"/>
    <w:rsid w:val="00AC0E82"/>
    <w:rsid w:val="00B14462"/>
    <w:rsid w:val="00B320EE"/>
    <w:rsid w:val="00B37405"/>
    <w:rsid w:val="00B55A38"/>
    <w:rsid w:val="00B572FE"/>
    <w:rsid w:val="00B5752F"/>
    <w:rsid w:val="00B7385C"/>
    <w:rsid w:val="00B87411"/>
    <w:rsid w:val="00BA15A1"/>
    <w:rsid w:val="00BD4736"/>
    <w:rsid w:val="00C127A9"/>
    <w:rsid w:val="00C80C32"/>
    <w:rsid w:val="00C8221E"/>
    <w:rsid w:val="00C90D2D"/>
    <w:rsid w:val="00C9344F"/>
    <w:rsid w:val="00D26CD1"/>
    <w:rsid w:val="00D35D08"/>
    <w:rsid w:val="00D37646"/>
    <w:rsid w:val="00D62DAF"/>
    <w:rsid w:val="00D803E3"/>
    <w:rsid w:val="00DA7BE3"/>
    <w:rsid w:val="00DC2084"/>
    <w:rsid w:val="00DC61A5"/>
    <w:rsid w:val="00E123A6"/>
    <w:rsid w:val="00E20F57"/>
    <w:rsid w:val="00E658EF"/>
    <w:rsid w:val="00E73057"/>
    <w:rsid w:val="00E91DF8"/>
    <w:rsid w:val="00EA3C1B"/>
    <w:rsid w:val="00EA7C9F"/>
    <w:rsid w:val="00EC25D2"/>
    <w:rsid w:val="00F94A89"/>
    <w:rsid w:val="4B8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8025B"/>
  <w15:chartTrackingRefBased/>
  <w15:docId w15:val="{A29AB0B9-063F-48C9-AD5E-EA7EF6EB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054B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paragraph">
    <w:name w:val="paragraph"/>
    <w:basedOn w:val="Normal"/>
    <w:rsid w:val="00BD473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D4736"/>
  </w:style>
  <w:style w:type="character" w:customStyle="1" w:styleId="eop">
    <w:name w:val="eop"/>
    <w:basedOn w:val="DefaultParagraphFont"/>
    <w:rsid w:val="00BD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466</Words>
  <Characters>2662</Characters>
  <Application>Microsoft Office Word</Application>
  <DocSecurity>4</DocSecurity>
  <Lines>22</Lines>
  <Paragraphs>6</Paragraphs>
  <ScaleCrop>false</ScaleCrop>
  <Company>Columbia College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Smith, Sarah I.</cp:lastModifiedBy>
  <cp:revision>25</cp:revision>
  <cp:lastPrinted>2009-05-29T02:04:00Z</cp:lastPrinted>
  <dcterms:created xsi:type="dcterms:W3CDTF">2021-06-14T17:42:00Z</dcterms:created>
  <dcterms:modified xsi:type="dcterms:W3CDTF">2021-06-14T18:33:00Z</dcterms:modified>
</cp:coreProperties>
</file>